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7A" w:rsidRDefault="00D4167A" w:rsidP="00D4167A">
      <w:pPr>
        <w:pStyle w:val="ListBullet1"/>
        <w:numPr>
          <w:ilvl w:val="0"/>
          <w:numId w:val="0"/>
        </w:numPr>
        <w:ind w:left="360"/>
      </w:pPr>
      <w:r>
        <w:rPr>
          <w:b/>
        </w:rPr>
        <w:t>Employee &amp; Family Leave</w:t>
      </w:r>
      <w:r>
        <w:t xml:space="preserve"> (</w:t>
      </w:r>
      <w:r w:rsidRPr="00C077C9">
        <w:rPr>
          <w:b/>
        </w:rPr>
        <w:t>EFL</w:t>
      </w:r>
      <w:r>
        <w:t>) – All e</w:t>
      </w:r>
      <w:r w:rsidRPr="00C077C9">
        <w:t xml:space="preserve">mployees with at least one month of service are eligible for up to six (6) weeks of paid leave immediately following the birth or adoption of a child. </w:t>
      </w:r>
      <w:r>
        <w:t>Employees</w:t>
      </w:r>
      <w:r w:rsidRPr="00C077C9">
        <w:t xml:space="preserve"> </w:t>
      </w:r>
      <w:r w:rsidRPr="00C077C9">
        <w:rPr>
          <w:rFonts w:cs="Helvetica"/>
        </w:rPr>
        <w:t xml:space="preserve">continue to accrue PTO during paid parental leave. </w:t>
      </w:r>
      <w:r w:rsidRPr="00C077C9">
        <w:t xml:space="preserve">Parental leave runs concurrently with, and counts toward your twelve week FMLA entitlement. </w:t>
      </w:r>
    </w:p>
    <w:p w:rsidR="001A27E8" w:rsidRDefault="00D4167A" w:rsidP="00D4167A">
      <w:pPr>
        <w:ind w:left="360"/>
      </w:pPr>
      <w:r w:rsidRPr="00C077C9">
        <w:t>EFL also provides</w:t>
      </w:r>
      <w:r>
        <w:t xml:space="preserve"> eligible employees with up to</w:t>
      </w:r>
      <w:r w:rsidRPr="00C077C9">
        <w:t xml:space="preserve"> 6 weeks paid intermittent leave for an employee’s own serious health condition or that of a family member</w:t>
      </w:r>
    </w:p>
    <w:p w:rsidR="00D4167A" w:rsidRDefault="00D4167A" w:rsidP="00D4167A">
      <w:pPr>
        <w:ind w:left="360"/>
      </w:pPr>
    </w:p>
    <w:p w:rsidR="00D4167A" w:rsidRPr="00CC42B9" w:rsidRDefault="00D4167A" w:rsidP="00D4167A">
      <w:pPr>
        <w:pStyle w:val="Heading3"/>
        <w:ind w:firstLine="360"/>
      </w:pPr>
      <w:bookmarkStart w:id="0" w:name="_Toc237840495"/>
      <w:bookmarkStart w:id="1" w:name="_Toc245264428"/>
      <w:bookmarkStart w:id="2" w:name="_Toc315778895"/>
      <w:bookmarkStart w:id="3" w:name="STDBenefits"/>
      <w:r w:rsidRPr="00130B32">
        <w:t>Short Term Disability</w:t>
      </w:r>
      <w:bookmarkEnd w:id="0"/>
      <w:bookmarkEnd w:id="1"/>
      <w:r w:rsidRPr="00130B32">
        <w:t xml:space="preserve"> (STD) </w:t>
      </w:r>
      <w:r>
        <w:t>Payments</w:t>
      </w:r>
      <w:bookmarkEnd w:id="2"/>
      <w:r>
        <w:t xml:space="preserve"> </w:t>
      </w:r>
    </w:p>
    <w:bookmarkEnd w:id="3"/>
    <w:p w:rsidR="00D4167A" w:rsidRPr="00B11D2D" w:rsidRDefault="00D4167A" w:rsidP="00D4167A">
      <w:pPr>
        <w:pStyle w:val="BalloonText"/>
        <w:ind w:left="360"/>
        <w:rPr>
          <w:rFonts w:ascii="Lucida Sans" w:hAnsi="Lucida Sans"/>
          <w:sz w:val="20"/>
          <w:szCs w:val="20"/>
        </w:rPr>
      </w:pPr>
      <w:r w:rsidRPr="00B11D2D">
        <w:rPr>
          <w:rFonts w:ascii="Lucida Sans" w:hAnsi="Lucida Sans"/>
          <w:sz w:val="20"/>
          <w:szCs w:val="20"/>
        </w:rPr>
        <w:t xml:space="preserve">You may be eligible for Short Term Disability (STD) payments if you are absent due to illness (including maternity-related disability) or non-occupational injury for more than </w:t>
      </w:r>
      <w:proofErr w:type="gramStart"/>
      <w:r w:rsidRPr="00B11D2D">
        <w:rPr>
          <w:rFonts w:ascii="Lucida Sans" w:hAnsi="Lucida Sans"/>
          <w:sz w:val="20"/>
          <w:szCs w:val="20"/>
        </w:rPr>
        <w:t>7</w:t>
      </w:r>
      <w:proofErr w:type="gramEnd"/>
      <w:r w:rsidRPr="00B11D2D">
        <w:rPr>
          <w:rFonts w:ascii="Lucida Sans" w:hAnsi="Lucida Sans"/>
          <w:sz w:val="20"/>
          <w:szCs w:val="20"/>
        </w:rPr>
        <w:t xml:space="preserve"> calendar days (5 business days). Absences of </w:t>
      </w:r>
      <w:proofErr w:type="gramStart"/>
      <w:r w:rsidRPr="00B11D2D">
        <w:rPr>
          <w:rFonts w:ascii="Lucida Sans" w:hAnsi="Lucida Sans"/>
          <w:sz w:val="20"/>
          <w:szCs w:val="20"/>
        </w:rPr>
        <w:t>5</w:t>
      </w:r>
      <w:proofErr w:type="gramEnd"/>
      <w:r w:rsidRPr="00B11D2D">
        <w:rPr>
          <w:rFonts w:ascii="Lucida Sans" w:hAnsi="Lucida Sans"/>
          <w:sz w:val="20"/>
          <w:szCs w:val="20"/>
        </w:rPr>
        <w:t xml:space="preserve"> business days or less are covered under the </w:t>
      </w:r>
      <w:hyperlink w:anchor="PaidTimeOff" w:history="1">
        <w:r w:rsidRPr="00BB2AA4">
          <w:rPr>
            <w:rStyle w:val="IntenseEmphasis"/>
          </w:rPr>
          <w:t>Paid Time-Off (PTO) policy</w:t>
        </w:r>
      </w:hyperlink>
      <w:r w:rsidRPr="00B11D2D">
        <w:rPr>
          <w:rFonts w:ascii="Lucida Sans" w:hAnsi="Lucida Sans"/>
          <w:sz w:val="20"/>
          <w:szCs w:val="20"/>
        </w:rPr>
        <w:t xml:space="preserve">. </w:t>
      </w:r>
    </w:p>
    <w:p w:rsidR="00D4167A" w:rsidRDefault="00D4167A" w:rsidP="00D4167A">
      <w:pPr>
        <w:spacing w:after="0" w:line="240" w:lineRule="auto"/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align>bottom</wp:align>
                </wp:positionV>
                <wp:extent cx="887095" cy="342900"/>
                <wp:effectExtent l="0" t="0" r="8255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67A" w:rsidRDefault="00D4167A" w:rsidP="00D416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0;margin-top:0;width:69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4WUgg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" stroked="f">
                <v:textbox>
                  <w:txbxContent>
                    <w:p w:rsidR="00D4167A" w:rsidRDefault="00D4167A" w:rsidP="00D4167A"/>
                  </w:txbxContent>
                </v:textbox>
                <w10:wrap anchory="page"/>
              </v:shape>
            </w:pict>
          </mc:Fallback>
        </mc:AlternateContent>
      </w:r>
      <w:r w:rsidRPr="00B11D2D">
        <w:t xml:space="preserve">STD payments </w:t>
      </w:r>
      <w:proofErr w:type="gramStart"/>
      <w:r w:rsidRPr="00B11D2D">
        <w:t>are made</w:t>
      </w:r>
      <w:proofErr w:type="gramEnd"/>
      <w:r w:rsidRPr="00B11D2D">
        <w:t xml:space="preserve"> based on your years of service as shown below. </w: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3257550</wp:posOffset>
                </wp:positionV>
                <wp:extent cx="2049145" cy="1312545"/>
                <wp:effectExtent l="0" t="0" r="8255" b="190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49145" cy="131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593FF" id="Rectangle 18" o:spid="_x0000_s1026" style="position:absolute;margin-left:297pt;margin-top:256.5pt;width:161.35pt;height:103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D4167A" w:rsidRPr="00B11D2D" w:rsidRDefault="00D4167A" w:rsidP="00D4167A">
      <w:pPr>
        <w:spacing w:after="0" w:line="240" w:lineRule="auto"/>
      </w:pPr>
    </w:p>
    <w:tbl>
      <w:tblPr>
        <w:tblW w:w="0" w:type="auto"/>
        <w:tblLook w:val="06A0" w:firstRow="1" w:lastRow="0" w:firstColumn="1" w:lastColumn="0" w:noHBand="1" w:noVBand="1"/>
      </w:tblPr>
      <w:tblGrid>
        <w:gridCol w:w="3116"/>
        <w:gridCol w:w="3117"/>
        <w:gridCol w:w="3117"/>
      </w:tblGrid>
      <w:tr w:rsidR="00D4167A" w:rsidTr="0091329C">
        <w:trPr>
          <w:trHeight w:val="385"/>
        </w:trPr>
        <w:tc>
          <w:tcPr>
            <w:tcW w:w="3120" w:type="dxa"/>
            <w:tcBorders>
              <w:top w:val="single" w:sz="4" w:space="0" w:color="666D70"/>
              <w:left w:val="single" w:sz="4" w:space="0" w:color="666D70"/>
              <w:bottom w:val="nil"/>
              <w:right w:val="single" w:sz="4" w:space="0" w:color="FFFFFF"/>
            </w:tcBorders>
            <w:shd w:val="clear" w:color="auto" w:fill="0072C6"/>
            <w:vAlign w:val="center"/>
            <w:hideMark/>
          </w:tcPr>
          <w:p w:rsidR="00D4167A" w:rsidRDefault="00D4167A" w:rsidP="0091329C">
            <w:pPr>
              <w:spacing w:before="120" w:after="1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Years of Service</w:t>
            </w:r>
          </w:p>
        </w:tc>
        <w:tc>
          <w:tcPr>
            <w:tcW w:w="3120" w:type="dxa"/>
            <w:tcBorders>
              <w:top w:val="single" w:sz="4" w:space="0" w:color="666D70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72C6"/>
            <w:vAlign w:val="center"/>
            <w:hideMark/>
          </w:tcPr>
          <w:p w:rsidR="00D4167A" w:rsidRDefault="00D4167A" w:rsidP="0091329C">
            <w:pPr>
              <w:spacing w:before="120" w:after="1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Weeks at 100% of base pay*</w:t>
            </w:r>
          </w:p>
        </w:tc>
        <w:tc>
          <w:tcPr>
            <w:tcW w:w="3120" w:type="dxa"/>
            <w:tcBorders>
              <w:top w:val="single" w:sz="4" w:space="0" w:color="666D70"/>
              <w:left w:val="single" w:sz="4" w:space="0" w:color="FFFFFF"/>
              <w:bottom w:val="nil"/>
              <w:right w:val="single" w:sz="4" w:space="0" w:color="666D70"/>
            </w:tcBorders>
            <w:shd w:val="clear" w:color="auto" w:fill="0072C6"/>
            <w:vAlign w:val="center"/>
            <w:hideMark/>
          </w:tcPr>
          <w:p w:rsidR="00D4167A" w:rsidRDefault="00D4167A" w:rsidP="0091329C">
            <w:pPr>
              <w:spacing w:before="120" w:after="1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Weeks at 50% of base pay*</w:t>
            </w:r>
          </w:p>
        </w:tc>
      </w:tr>
      <w:tr w:rsidR="00D4167A" w:rsidTr="0091329C">
        <w:tc>
          <w:tcPr>
            <w:tcW w:w="3120" w:type="dxa"/>
            <w:tcBorders>
              <w:top w:val="single" w:sz="4" w:space="0" w:color="666D70"/>
              <w:left w:val="single" w:sz="4" w:space="0" w:color="666D70"/>
              <w:bottom w:val="single" w:sz="4" w:space="0" w:color="666D70"/>
              <w:right w:val="single" w:sz="4" w:space="0" w:color="666D70"/>
            </w:tcBorders>
            <w:shd w:val="clear" w:color="auto" w:fill="auto"/>
            <w:vAlign w:val="center"/>
            <w:hideMark/>
          </w:tcPr>
          <w:p w:rsidR="00D4167A" w:rsidRPr="00A60962" w:rsidRDefault="00D4167A" w:rsidP="0091329C">
            <w:pPr>
              <w:spacing w:before="120" w:after="120"/>
              <w:rPr>
                <w:b/>
              </w:rPr>
            </w:pPr>
            <w:r w:rsidRPr="00A60962">
              <w:rPr>
                <w:b/>
              </w:rPr>
              <w:t xml:space="preserve">1 month </w:t>
            </w:r>
            <w:r>
              <w:rPr>
                <w:b/>
              </w:rPr>
              <w:t>- 4</w:t>
            </w:r>
            <w:r w:rsidRPr="00A60962">
              <w:rPr>
                <w:b/>
              </w:rPr>
              <w:t xml:space="preserve"> years</w:t>
            </w:r>
          </w:p>
        </w:tc>
        <w:tc>
          <w:tcPr>
            <w:tcW w:w="3120" w:type="dxa"/>
            <w:tcBorders>
              <w:top w:val="single" w:sz="4" w:space="0" w:color="666D70"/>
              <w:left w:val="single" w:sz="4" w:space="0" w:color="666D70"/>
              <w:bottom w:val="single" w:sz="4" w:space="0" w:color="666D70"/>
              <w:right w:val="single" w:sz="4" w:space="0" w:color="666D70"/>
            </w:tcBorders>
            <w:shd w:val="clear" w:color="auto" w:fill="auto"/>
            <w:vAlign w:val="center"/>
            <w:hideMark/>
          </w:tcPr>
          <w:p w:rsidR="00D4167A" w:rsidRPr="00A60962" w:rsidRDefault="00D4167A" w:rsidP="0091329C">
            <w:pPr>
              <w:spacing w:before="120" w:after="120"/>
            </w:pPr>
            <w:r>
              <w:t>6</w:t>
            </w:r>
          </w:p>
        </w:tc>
        <w:tc>
          <w:tcPr>
            <w:tcW w:w="3120" w:type="dxa"/>
            <w:tcBorders>
              <w:top w:val="single" w:sz="4" w:space="0" w:color="666D70"/>
              <w:left w:val="single" w:sz="4" w:space="0" w:color="666D70"/>
              <w:bottom w:val="single" w:sz="4" w:space="0" w:color="666D70"/>
              <w:right w:val="single" w:sz="4" w:space="0" w:color="666D70"/>
            </w:tcBorders>
            <w:shd w:val="clear" w:color="auto" w:fill="auto"/>
            <w:vAlign w:val="center"/>
            <w:hideMark/>
          </w:tcPr>
          <w:p w:rsidR="00D4167A" w:rsidRPr="00A60962" w:rsidRDefault="00D4167A" w:rsidP="0091329C">
            <w:pPr>
              <w:spacing w:before="120" w:after="120"/>
            </w:pPr>
            <w:r>
              <w:t>20</w:t>
            </w:r>
          </w:p>
        </w:tc>
      </w:tr>
      <w:tr w:rsidR="00D4167A" w:rsidTr="0091329C">
        <w:tc>
          <w:tcPr>
            <w:tcW w:w="3120" w:type="dxa"/>
            <w:tcBorders>
              <w:top w:val="single" w:sz="4" w:space="0" w:color="666D70"/>
              <w:left w:val="single" w:sz="4" w:space="0" w:color="666D70"/>
              <w:bottom w:val="single" w:sz="4" w:space="0" w:color="666D70"/>
              <w:right w:val="single" w:sz="4" w:space="0" w:color="666D70"/>
            </w:tcBorders>
            <w:shd w:val="clear" w:color="auto" w:fill="auto"/>
            <w:vAlign w:val="center"/>
            <w:hideMark/>
          </w:tcPr>
          <w:p w:rsidR="00D4167A" w:rsidRPr="000F77F0" w:rsidRDefault="00D4167A" w:rsidP="0091329C">
            <w:pPr>
              <w:spacing w:before="120" w:after="120"/>
              <w:rPr>
                <w:b/>
              </w:rPr>
            </w:pPr>
            <w:r w:rsidRPr="000F77F0">
              <w:rPr>
                <w:b/>
              </w:rPr>
              <w:t>5 years</w:t>
            </w:r>
            <w:r>
              <w:rPr>
                <w:b/>
              </w:rPr>
              <w:t xml:space="preserve"> – 9 years</w:t>
            </w:r>
            <w:r w:rsidRPr="000F77F0">
              <w:rPr>
                <w:b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666D70"/>
              <w:left w:val="single" w:sz="4" w:space="0" w:color="666D70"/>
              <w:bottom w:val="single" w:sz="4" w:space="0" w:color="666D70"/>
              <w:right w:val="single" w:sz="4" w:space="0" w:color="666D70"/>
            </w:tcBorders>
            <w:shd w:val="clear" w:color="auto" w:fill="auto"/>
            <w:vAlign w:val="center"/>
            <w:hideMark/>
          </w:tcPr>
          <w:p w:rsidR="00D4167A" w:rsidRPr="000F77F0" w:rsidRDefault="00D4167A" w:rsidP="0091329C">
            <w:pPr>
              <w:spacing w:before="120" w:after="120"/>
            </w:pPr>
            <w:r>
              <w:t>8</w:t>
            </w:r>
          </w:p>
        </w:tc>
        <w:tc>
          <w:tcPr>
            <w:tcW w:w="3120" w:type="dxa"/>
            <w:tcBorders>
              <w:top w:val="single" w:sz="4" w:space="0" w:color="666D70"/>
              <w:left w:val="single" w:sz="4" w:space="0" w:color="666D70"/>
              <w:bottom w:val="single" w:sz="4" w:space="0" w:color="666D70"/>
              <w:right w:val="single" w:sz="4" w:space="0" w:color="666D70"/>
            </w:tcBorders>
            <w:shd w:val="clear" w:color="auto" w:fill="auto"/>
            <w:vAlign w:val="center"/>
            <w:hideMark/>
          </w:tcPr>
          <w:p w:rsidR="00D4167A" w:rsidRPr="000F77F0" w:rsidRDefault="00D4167A" w:rsidP="0091329C">
            <w:pPr>
              <w:spacing w:before="120" w:after="120"/>
            </w:pPr>
            <w:r>
              <w:t>18</w:t>
            </w:r>
          </w:p>
        </w:tc>
      </w:tr>
      <w:tr w:rsidR="00D4167A" w:rsidTr="0091329C">
        <w:tc>
          <w:tcPr>
            <w:tcW w:w="3120" w:type="dxa"/>
            <w:tcBorders>
              <w:top w:val="single" w:sz="4" w:space="0" w:color="666D70"/>
              <w:left w:val="single" w:sz="4" w:space="0" w:color="666D70"/>
              <w:bottom w:val="single" w:sz="4" w:space="0" w:color="666D70"/>
              <w:right w:val="single" w:sz="4" w:space="0" w:color="666D70"/>
            </w:tcBorders>
            <w:shd w:val="clear" w:color="auto" w:fill="auto"/>
            <w:vAlign w:val="center"/>
            <w:hideMark/>
          </w:tcPr>
          <w:p w:rsidR="00D4167A" w:rsidRDefault="00D4167A" w:rsidP="0091329C">
            <w:pPr>
              <w:spacing w:before="120" w:after="120"/>
              <w:rPr>
                <w:b/>
              </w:rPr>
            </w:pPr>
            <w:r>
              <w:rPr>
                <w:b/>
              </w:rPr>
              <w:t>10 years +</w:t>
            </w:r>
          </w:p>
        </w:tc>
        <w:tc>
          <w:tcPr>
            <w:tcW w:w="3120" w:type="dxa"/>
            <w:tcBorders>
              <w:top w:val="single" w:sz="4" w:space="0" w:color="666D70"/>
              <w:left w:val="single" w:sz="4" w:space="0" w:color="666D70"/>
              <w:bottom w:val="single" w:sz="4" w:space="0" w:color="666D70"/>
              <w:right w:val="single" w:sz="4" w:space="0" w:color="666D70"/>
            </w:tcBorders>
            <w:shd w:val="clear" w:color="auto" w:fill="auto"/>
            <w:vAlign w:val="center"/>
            <w:hideMark/>
          </w:tcPr>
          <w:p w:rsidR="00D4167A" w:rsidRDefault="00D4167A" w:rsidP="0091329C">
            <w:pPr>
              <w:spacing w:before="120" w:after="120"/>
            </w:pPr>
            <w:r>
              <w:t>13</w:t>
            </w:r>
          </w:p>
        </w:tc>
        <w:tc>
          <w:tcPr>
            <w:tcW w:w="3120" w:type="dxa"/>
            <w:tcBorders>
              <w:top w:val="single" w:sz="4" w:space="0" w:color="666D70"/>
              <w:left w:val="single" w:sz="4" w:space="0" w:color="666D70"/>
              <w:bottom w:val="single" w:sz="4" w:space="0" w:color="666D70"/>
              <w:right w:val="single" w:sz="4" w:space="0" w:color="666D70"/>
            </w:tcBorders>
            <w:shd w:val="clear" w:color="auto" w:fill="auto"/>
            <w:vAlign w:val="center"/>
            <w:hideMark/>
          </w:tcPr>
          <w:p w:rsidR="00D4167A" w:rsidRDefault="00D4167A" w:rsidP="0091329C">
            <w:pPr>
              <w:spacing w:before="120" w:after="120"/>
            </w:pPr>
            <w:r>
              <w:t>13</w:t>
            </w:r>
          </w:p>
        </w:tc>
      </w:tr>
      <w:tr w:rsidR="00D4167A" w:rsidTr="0091329C">
        <w:trPr>
          <w:trHeight w:val="512"/>
        </w:trPr>
        <w:tc>
          <w:tcPr>
            <w:tcW w:w="9360" w:type="dxa"/>
            <w:gridSpan w:val="3"/>
            <w:tcBorders>
              <w:top w:val="single" w:sz="4" w:space="0" w:color="666D70"/>
              <w:left w:val="single" w:sz="4" w:space="0" w:color="666D70"/>
              <w:bottom w:val="single" w:sz="4" w:space="0" w:color="666D70"/>
              <w:right w:val="single" w:sz="4" w:space="0" w:color="666D70"/>
            </w:tcBorders>
            <w:vAlign w:val="center"/>
            <w:hideMark/>
          </w:tcPr>
          <w:p w:rsidR="00D4167A" w:rsidRDefault="00D4167A" w:rsidP="0091329C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STD payments </w:t>
            </w:r>
            <w:proofErr w:type="gramStart"/>
            <w:r>
              <w:rPr>
                <w:sz w:val="18"/>
                <w:szCs w:val="18"/>
              </w:rPr>
              <w:t>will be offset</w:t>
            </w:r>
            <w:proofErr w:type="gramEnd"/>
            <w:r>
              <w:rPr>
                <w:sz w:val="18"/>
                <w:szCs w:val="18"/>
              </w:rPr>
              <w:t xml:space="preserve"> by any state disability payments for which you are eligible.</w:t>
            </w:r>
          </w:p>
        </w:tc>
      </w:tr>
    </w:tbl>
    <w:p w:rsidR="00D4167A" w:rsidRPr="00B11D2D" w:rsidRDefault="00D4167A" w:rsidP="00D4167A">
      <w:pPr>
        <w:pStyle w:val="BodyText3"/>
        <w:spacing w:before="240"/>
        <w:rPr>
          <w:sz w:val="20"/>
          <w:szCs w:val="20"/>
        </w:rPr>
      </w:pPr>
      <w:r w:rsidRPr="00B11D2D">
        <w:rPr>
          <w:sz w:val="20"/>
          <w:szCs w:val="20"/>
        </w:rPr>
        <w:t xml:space="preserve">While you are receiving disability pay at 50% of base pay, you may choose to supplement the remaining 50% of pay by using your PTO. If you are a part-time </w:t>
      </w:r>
      <w:proofErr w:type="gramStart"/>
      <w:r w:rsidRPr="00B11D2D">
        <w:rPr>
          <w:sz w:val="20"/>
          <w:szCs w:val="20"/>
        </w:rPr>
        <w:t>employee</w:t>
      </w:r>
      <w:proofErr w:type="gramEnd"/>
      <w:r w:rsidRPr="00B11D2D">
        <w:rPr>
          <w:sz w:val="20"/>
          <w:szCs w:val="20"/>
        </w:rPr>
        <w:t xml:space="preserve"> you receive payments based on your normally scheduled work week.</w:t>
      </w:r>
    </w:p>
    <w:p w:rsidR="00D4167A" w:rsidRDefault="00D4167A" w:rsidP="00D4167A">
      <w:pPr>
        <w:pStyle w:val="BodyText3"/>
        <w:rPr>
          <w:sz w:val="20"/>
          <w:szCs w:val="20"/>
        </w:rPr>
      </w:pPr>
      <w:r w:rsidRPr="00B11D2D">
        <w:rPr>
          <w:sz w:val="20"/>
          <w:szCs w:val="20"/>
        </w:rPr>
        <w:t xml:space="preserve">Scheduled Company holidays that occur during your disability period will be paid at 100%, even if such holidays fall during a period in which you are receiving only 50% (or less) of your base pay. However, such holidays will not extend the period of STD payments. </w:t>
      </w:r>
      <w:r w:rsidRPr="00B11D2D">
        <w:rPr>
          <w:rFonts w:cs="Helvetica"/>
          <w:sz w:val="20"/>
          <w:szCs w:val="20"/>
        </w:rPr>
        <w:t xml:space="preserve">If your disability continues and you are </w:t>
      </w:r>
      <w:r>
        <w:rPr>
          <w:rFonts w:cs="Helvetica"/>
          <w:sz w:val="20"/>
          <w:szCs w:val="20"/>
        </w:rPr>
        <w:t>unable to return to work after 18</w:t>
      </w:r>
      <w:r w:rsidRPr="00B11D2D">
        <w:rPr>
          <w:rFonts w:cs="Helvetica"/>
          <w:sz w:val="20"/>
          <w:szCs w:val="20"/>
        </w:rPr>
        <w:t>0 days, you may qualify for Long Term Disability Benefits.</w:t>
      </w:r>
    </w:p>
    <w:p w:rsidR="00D4167A" w:rsidRDefault="00D4167A" w:rsidP="00D4167A">
      <w:pPr>
        <w:ind w:left="360"/>
      </w:pPr>
      <w:bookmarkStart w:id="4" w:name="_GoBack"/>
      <w:bookmarkEnd w:id="4"/>
    </w:p>
    <w:sectPr w:rsidR="00D41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2270"/>
    <w:multiLevelType w:val="hybridMultilevel"/>
    <w:tmpl w:val="F0D6E706"/>
    <w:lvl w:ilvl="0" w:tplc="CD6E7C7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0072C6"/>
        <w:sz w:val="20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7A"/>
    <w:rsid w:val="001A27E8"/>
    <w:rsid w:val="00D4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A45D5"/>
  <w15:chartTrackingRefBased/>
  <w15:docId w15:val="{6AE8C0AA-2AE9-4261-9ED6-5EB73E79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67A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167A"/>
    <w:pPr>
      <w:widowControl w:val="0"/>
      <w:autoSpaceDE w:val="0"/>
      <w:autoSpaceDN w:val="0"/>
      <w:adjustRightInd w:val="0"/>
      <w:spacing w:before="360" w:after="120"/>
      <w:outlineLvl w:val="2"/>
    </w:pPr>
    <w:rPr>
      <w:rFonts w:ascii="Lucida Sans" w:eastAsia="Times New Roman" w:hAnsi="Lucida Sans" w:cs="Arial"/>
      <w:b/>
      <w:color w:val="003767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uiPriority w:val="99"/>
    <w:rsid w:val="00D4167A"/>
    <w:pPr>
      <w:widowControl w:val="0"/>
      <w:numPr>
        <w:numId w:val="1"/>
      </w:numPr>
      <w:autoSpaceDE w:val="0"/>
      <w:autoSpaceDN w:val="0"/>
      <w:adjustRightInd w:val="0"/>
    </w:pPr>
    <w:rPr>
      <w:rFonts w:ascii="Lucida Sans" w:eastAsia="Times New Roman" w:hAnsi="Lucida Sans" w:cs="Arial"/>
      <w:color w:val="000000"/>
      <w:sz w:val="20"/>
      <w:szCs w:val="20"/>
    </w:rPr>
  </w:style>
  <w:style w:type="paragraph" w:customStyle="1" w:styleId="ListBullet1">
    <w:name w:val="ListBullet1"/>
    <w:basedOn w:val="TableBullet"/>
    <w:link w:val="ListBullet1Char"/>
    <w:qFormat/>
    <w:rsid w:val="00D4167A"/>
  </w:style>
  <w:style w:type="character" w:customStyle="1" w:styleId="ListBullet1Char">
    <w:name w:val="ListBullet1 Char"/>
    <w:link w:val="ListBullet1"/>
    <w:rsid w:val="00D4167A"/>
    <w:rPr>
      <w:rFonts w:ascii="Lucida Sans" w:eastAsia="Times New Roman" w:hAnsi="Lucida Sans" w:cs="Arial"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D4167A"/>
    <w:rPr>
      <w:rFonts w:ascii="Lucida Sans" w:eastAsia="Times New Roman" w:hAnsi="Lucida Sans" w:cs="Arial"/>
      <w:b/>
      <w:color w:val="003767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D4167A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4167A"/>
    <w:rPr>
      <w:rFonts w:ascii="Tahoma" w:eastAsia="Times New Roman" w:hAnsi="Tahoma" w:cs="Tahoma"/>
      <w:color w:val="000000"/>
      <w:sz w:val="16"/>
      <w:szCs w:val="16"/>
    </w:rPr>
  </w:style>
  <w:style w:type="paragraph" w:styleId="BodyText3">
    <w:name w:val="Body Text 3"/>
    <w:basedOn w:val="Normal"/>
    <w:link w:val="BodyText3Char"/>
    <w:rsid w:val="00D4167A"/>
    <w:pPr>
      <w:widowControl w:val="0"/>
      <w:autoSpaceDE w:val="0"/>
      <w:autoSpaceDN w:val="0"/>
      <w:adjustRightInd w:val="0"/>
    </w:pPr>
    <w:rPr>
      <w:rFonts w:ascii="Lucida Sans" w:eastAsia="Times New Roman" w:hAnsi="Lucida Sans" w:cs="Arial"/>
      <w:color w:val="000000"/>
      <w:sz w:val="16"/>
      <w:szCs w:val="16"/>
      <w:lang w:bidi="en-US"/>
    </w:rPr>
  </w:style>
  <w:style w:type="character" w:customStyle="1" w:styleId="BodyText3Char">
    <w:name w:val="Body Text 3 Char"/>
    <w:basedOn w:val="DefaultParagraphFont"/>
    <w:link w:val="BodyText3"/>
    <w:rsid w:val="00D4167A"/>
    <w:rPr>
      <w:rFonts w:ascii="Lucida Sans" w:eastAsia="Times New Roman" w:hAnsi="Lucida Sans" w:cs="Arial"/>
      <w:color w:val="000000"/>
      <w:sz w:val="16"/>
      <w:szCs w:val="16"/>
      <w:lang w:bidi="en-US"/>
    </w:rPr>
  </w:style>
  <w:style w:type="character" w:styleId="IntenseEmphasis">
    <w:name w:val="Intense Emphasis"/>
    <w:aliases w:val="Hyperlink1"/>
    <w:uiPriority w:val="21"/>
    <w:qFormat/>
    <w:rsid w:val="00D4167A"/>
    <w:rPr>
      <w:rFonts w:ascii="Lucida Sans" w:hAnsi="Lucida Sans"/>
      <w:b/>
      <w:color w:val="003767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1527</Characters>
  <Application>Microsoft Office Word</Application>
  <DocSecurity>0</DocSecurity>
  <Lines>12</Lines>
  <Paragraphs>3</Paragraphs>
  <ScaleCrop>false</ScaleCrop>
  <Company>Interpublic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DeFabbio, Danielle (NYC-DVR)</dc:creator>
  <cp:keywords/>
  <dc:description/>
  <cp:lastModifiedBy>DeFabbio, Danielle (NYC-DVR)</cp:lastModifiedBy>
  <cp:revision>1</cp:revision>
  <dcterms:created xsi:type="dcterms:W3CDTF">2017-10-24T20:21:00Z</dcterms:created>
  <dcterms:modified xsi:type="dcterms:W3CDTF">2017-10-24T20:24:00Z</dcterms:modified>
</cp:coreProperties>
</file>